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70072" w14:textId="17936718" w:rsidR="00D85195" w:rsidRPr="00D85195" w:rsidRDefault="00D85195" w:rsidP="00D85195">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D85195">
        <w:rPr>
          <w:rFonts w:ascii="Lato" w:eastAsia="Times New Roman" w:hAnsi="Lato" w:cs="Times New Roman"/>
          <w:color w:val="CC3300"/>
          <w:kern w:val="36"/>
          <w:sz w:val="36"/>
          <w:szCs w:val="36"/>
          <w:lang w:eastAsia="fr-BE"/>
          <w14:ligatures w14:val="none"/>
        </w:rPr>
        <w:t>Métaux de base</w:t>
      </w:r>
      <w:r>
        <w:rPr>
          <w:rFonts w:ascii="Lato" w:eastAsia="Times New Roman" w:hAnsi="Lato" w:cs="Times New Roman"/>
          <w:color w:val="CC3300"/>
          <w:kern w:val="36"/>
          <w:sz w:val="36"/>
          <w:szCs w:val="36"/>
          <w:lang w:eastAsia="fr-BE"/>
          <w14:ligatures w14:val="none"/>
        </w:rPr>
        <w:t>,</w:t>
      </w:r>
      <w:r w:rsidRPr="00D85195">
        <w:rPr>
          <w:rFonts w:ascii="Lato" w:eastAsia="Times New Roman" w:hAnsi="Lato" w:cs="Times New Roman"/>
          <w:color w:val="CC3300"/>
          <w:kern w:val="36"/>
          <w:sz w:val="36"/>
          <w:szCs w:val="36"/>
          <w:lang w:eastAsia="fr-BE"/>
          <w14:ligatures w14:val="none"/>
        </w:rPr>
        <w:t xml:space="preserve"> la progression des cours sur le LME aura été de courte durée</w:t>
      </w:r>
    </w:p>
    <w:p w14:paraId="60A84837" w14:textId="77777777" w:rsidR="00D85195" w:rsidRDefault="00D85195" w:rsidP="00D85195">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59AB1A9A" w14:textId="12BFBC52" w:rsidR="00D85195" w:rsidRPr="00D85195" w:rsidRDefault="00D85195" w:rsidP="00D8519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85195">
        <w:rPr>
          <w:rFonts w:ascii="Lato" w:eastAsia="Times New Roman" w:hAnsi="Lato" w:cs="Times New Roman"/>
          <w:color w:val="000000"/>
          <w:kern w:val="0"/>
          <w:sz w:val="23"/>
          <w:szCs w:val="23"/>
          <w:lang w:eastAsia="fr-BE"/>
          <w14:ligatures w14:val="none"/>
        </w:rPr>
        <w:t>Le </w:t>
      </w:r>
      <w:r w:rsidRPr="00D85195">
        <w:rPr>
          <w:rFonts w:ascii="Lato" w:eastAsia="Times New Roman" w:hAnsi="Lato" w:cs="Times New Roman"/>
          <w:color w:val="000000"/>
          <w:kern w:val="0"/>
          <w:sz w:val="23"/>
          <w:szCs w:val="23"/>
          <w:u w:val="single"/>
          <w:lang w:eastAsia="fr-BE"/>
          <w14:ligatures w14:val="none"/>
        </w:rPr>
        <w:t>cuivre</w:t>
      </w:r>
      <w:r w:rsidRPr="00D85195">
        <w:rPr>
          <w:rFonts w:ascii="Lato" w:eastAsia="Times New Roman" w:hAnsi="Lato" w:cs="Times New Roman"/>
          <w:color w:val="000000"/>
          <w:kern w:val="0"/>
          <w:sz w:val="23"/>
          <w:szCs w:val="23"/>
          <w:lang w:eastAsia="fr-BE"/>
          <w14:ligatures w14:val="none"/>
        </w:rPr>
        <w:t> est reparti à la hausse ce matin, le marché espérant de nouvelles mesures d’assouplissement monétaire en Chine. La banque centrale chinoise devrait en effet augmenter les liquidités et abaisser un taux d’intérêt directeur, dans un effort pour stabiliser une économie chancelante. Des chiffres publiés plus tôt dans la matinée ont montré que les encours des TSF (financements sociaux) - un indicateur clé de la demande - avaient reculé en décembre à 1,94 trillion de yuans (270,72 mds $), contre 2,45 en novembre. « </w:t>
      </w:r>
      <w:r w:rsidRPr="00D85195">
        <w:rPr>
          <w:rFonts w:ascii="Lato" w:eastAsia="Times New Roman" w:hAnsi="Lato" w:cs="Times New Roman"/>
          <w:i/>
          <w:iCs/>
          <w:color w:val="000000"/>
          <w:kern w:val="0"/>
          <w:sz w:val="23"/>
          <w:szCs w:val="23"/>
          <w:lang w:eastAsia="fr-BE"/>
          <w14:ligatures w14:val="none"/>
        </w:rPr>
        <w:t>Le marché accuse le coup </w:t>
      </w:r>
      <w:r w:rsidRPr="00D85195">
        <w:rPr>
          <w:rFonts w:ascii="Lato" w:eastAsia="Times New Roman" w:hAnsi="Lato" w:cs="Times New Roman"/>
          <w:color w:val="000000"/>
          <w:kern w:val="0"/>
          <w:sz w:val="23"/>
          <w:szCs w:val="23"/>
          <w:lang w:eastAsia="fr-BE"/>
          <w14:ligatures w14:val="none"/>
        </w:rPr>
        <w:t>», a commenté un négociant en cuivre, selon lequel, l’activité devrait ralentir de manière croissante jusqu’au nouvel an chinois, en février.</w:t>
      </w:r>
    </w:p>
    <w:p w14:paraId="142879F0" w14:textId="77777777" w:rsidR="00D85195" w:rsidRPr="00D85195" w:rsidRDefault="00D85195" w:rsidP="00D8519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85195">
        <w:rPr>
          <w:rFonts w:ascii="Lato" w:eastAsia="Times New Roman" w:hAnsi="Lato" w:cs="Times New Roman"/>
          <w:color w:val="000000"/>
          <w:kern w:val="0"/>
          <w:sz w:val="23"/>
          <w:szCs w:val="23"/>
          <w:lang w:eastAsia="fr-BE"/>
          <w14:ligatures w14:val="none"/>
        </w:rPr>
        <w:t xml:space="preserve">Le dollar index est en hausse d’environ 0,9 % depuis le début de l’année, sur fond </w:t>
      </w:r>
      <w:proofErr w:type="gramStart"/>
      <w:r w:rsidRPr="00D85195">
        <w:rPr>
          <w:rFonts w:ascii="Lato" w:eastAsia="Times New Roman" w:hAnsi="Lato" w:cs="Times New Roman"/>
          <w:color w:val="000000"/>
          <w:kern w:val="0"/>
          <w:sz w:val="23"/>
          <w:szCs w:val="23"/>
          <w:lang w:eastAsia="fr-BE"/>
          <w14:ligatures w14:val="none"/>
        </w:rPr>
        <w:t>d’indicateurs</w:t>
      </w:r>
      <w:proofErr w:type="gramEnd"/>
      <w:r w:rsidRPr="00D85195">
        <w:rPr>
          <w:rFonts w:ascii="Lato" w:eastAsia="Times New Roman" w:hAnsi="Lato" w:cs="Times New Roman"/>
          <w:color w:val="000000"/>
          <w:kern w:val="0"/>
          <w:sz w:val="23"/>
          <w:szCs w:val="23"/>
          <w:lang w:eastAsia="fr-BE"/>
          <w14:ligatures w14:val="none"/>
        </w:rPr>
        <w:t xml:space="preserve"> économiques plus robustes que prévu aux Etats-Unis. « </w:t>
      </w:r>
      <w:r w:rsidRPr="00D85195">
        <w:rPr>
          <w:rFonts w:ascii="Lato" w:eastAsia="Times New Roman" w:hAnsi="Lato" w:cs="Times New Roman"/>
          <w:i/>
          <w:iCs/>
          <w:color w:val="000000"/>
          <w:kern w:val="0"/>
          <w:sz w:val="23"/>
          <w:szCs w:val="23"/>
          <w:lang w:eastAsia="fr-BE"/>
          <w14:ligatures w14:val="none"/>
        </w:rPr>
        <w:t>Les principaux facteurs qui régissent le marché actuellement sont la situation macroéconomique américaine, les taux d’intérêt américains et le dollar </w:t>
      </w:r>
      <w:r w:rsidRPr="00D85195">
        <w:rPr>
          <w:rFonts w:ascii="Lato" w:eastAsia="Times New Roman" w:hAnsi="Lato" w:cs="Times New Roman"/>
          <w:color w:val="000000"/>
          <w:kern w:val="0"/>
          <w:sz w:val="23"/>
          <w:szCs w:val="23"/>
          <w:lang w:eastAsia="fr-BE"/>
          <w14:ligatures w14:val="none"/>
        </w:rPr>
        <w:t>», commente David Wilson, analyste chez BNP Paribas. « </w:t>
      </w:r>
      <w:r w:rsidRPr="00D85195">
        <w:rPr>
          <w:rFonts w:ascii="Lato" w:eastAsia="Times New Roman" w:hAnsi="Lato" w:cs="Times New Roman"/>
          <w:i/>
          <w:iCs/>
          <w:color w:val="000000"/>
          <w:kern w:val="0"/>
          <w:sz w:val="23"/>
          <w:szCs w:val="23"/>
          <w:lang w:eastAsia="fr-BE"/>
          <w14:ligatures w14:val="none"/>
        </w:rPr>
        <w:t>Le marché n’est pas vraiment inquiet pour l’approvisionnement en cuivre »</w:t>
      </w:r>
      <w:r w:rsidRPr="00D85195">
        <w:rPr>
          <w:rFonts w:ascii="Lato" w:eastAsia="Times New Roman" w:hAnsi="Lato" w:cs="Times New Roman"/>
          <w:color w:val="000000"/>
          <w:kern w:val="0"/>
          <w:sz w:val="23"/>
          <w:szCs w:val="23"/>
          <w:lang w:eastAsia="fr-BE"/>
          <w14:ligatures w14:val="none"/>
        </w:rPr>
        <w:t>, ajoute-t-il. Le </w:t>
      </w:r>
      <w:proofErr w:type="spellStart"/>
      <w:r w:rsidRPr="00D85195">
        <w:rPr>
          <w:rFonts w:ascii="Lato" w:eastAsia="Times New Roman" w:hAnsi="Lato" w:cs="Times New Roman"/>
          <w:i/>
          <w:iCs/>
          <w:color w:val="000000"/>
          <w:kern w:val="0"/>
          <w:sz w:val="23"/>
          <w:szCs w:val="23"/>
          <w:lang w:eastAsia="fr-BE"/>
          <w14:ligatures w14:val="none"/>
        </w:rPr>
        <w:t>contango</w:t>
      </w:r>
      <w:proofErr w:type="spellEnd"/>
      <w:r w:rsidRPr="00D85195">
        <w:rPr>
          <w:rFonts w:ascii="Lato" w:eastAsia="Times New Roman" w:hAnsi="Lato" w:cs="Times New Roman"/>
          <w:i/>
          <w:iCs/>
          <w:color w:val="000000"/>
          <w:kern w:val="0"/>
          <w:sz w:val="23"/>
          <w:szCs w:val="23"/>
          <w:lang w:eastAsia="fr-BE"/>
          <w14:ligatures w14:val="none"/>
        </w:rPr>
        <w:t> </w:t>
      </w:r>
      <w:r w:rsidRPr="00D85195">
        <w:rPr>
          <w:rFonts w:ascii="Lato" w:eastAsia="Times New Roman" w:hAnsi="Lato" w:cs="Times New Roman"/>
          <w:color w:val="000000"/>
          <w:kern w:val="0"/>
          <w:sz w:val="23"/>
          <w:szCs w:val="23"/>
          <w:lang w:eastAsia="fr-BE"/>
          <w14:ligatures w14:val="none"/>
        </w:rPr>
        <w:t>a atteint la valeur record de 108 $/t cette semaine.</w:t>
      </w:r>
    </w:p>
    <w:p w14:paraId="6FDAA68E" w14:textId="77777777" w:rsidR="00D85195" w:rsidRPr="00D85195" w:rsidRDefault="00D85195" w:rsidP="00D8519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85195">
        <w:rPr>
          <w:rFonts w:ascii="Lato" w:eastAsia="Times New Roman" w:hAnsi="Lato" w:cs="Times New Roman"/>
          <w:color w:val="000000"/>
          <w:kern w:val="0"/>
          <w:sz w:val="23"/>
          <w:szCs w:val="23"/>
          <w:lang w:eastAsia="fr-BE"/>
          <w14:ligatures w14:val="none"/>
        </w:rPr>
        <w:t>A l’exception de l’</w:t>
      </w:r>
      <w:r w:rsidRPr="00D85195">
        <w:rPr>
          <w:rFonts w:ascii="Lato" w:eastAsia="Times New Roman" w:hAnsi="Lato" w:cs="Times New Roman"/>
          <w:color w:val="000000"/>
          <w:kern w:val="0"/>
          <w:sz w:val="23"/>
          <w:szCs w:val="23"/>
          <w:u w:val="single"/>
          <w:lang w:eastAsia="fr-BE"/>
          <w14:ligatures w14:val="none"/>
        </w:rPr>
        <w:t>étain</w:t>
      </w:r>
      <w:r w:rsidRPr="00D85195">
        <w:rPr>
          <w:rFonts w:ascii="Lato" w:eastAsia="Times New Roman" w:hAnsi="Lato" w:cs="Times New Roman"/>
          <w:color w:val="000000"/>
          <w:kern w:val="0"/>
          <w:sz w:val="23"/>
          <w:szCs w:val="23"/>
          <w:lang w:eastAsia="fr-BE"/>
          <w14:ligatures w14:val="none"/>
        </w:rPr>
        <w:t> qui s’apprécie de 0,2% à 24.600 $/t, les autres métaux reculent dans le sillage du métal rouge : -0,8% pour l’</w:t>
      </w:r>
      <w:r w:rsidRPr="00D85195">
        <w:rPr>
          <w:rFonts w:ascii="Lato" w:eastAsia="Times New Roman" w:hAnsi="Lato" w:cs="Times New Roman"/>
          <w:color w:val="000000"/>
          <w:kern w:val="0"/>
          <w:sz w:val="23"/>
          <w:szCs w:val="23"/>
          <w:u w:val="single"/>
          <w:lang w:eastAsia="fr-BE"/>
          <w14:ligatures w14:val="none"/>
        </w:rPr>
        <w:t>aluminium</w:t>
      </w:r>
      <w:r w:rsidRPr="00D85195">
        <w:rPr>
          <w:rFonts w:ascii="Lato" w:eastAsia="Times New Roman" w:hAnsi="Lato" w:cs="Times New Roman"/>
          <w:color w:val="000000"/>
          <w:kern w:val="0"/>
          <w:sz w:val="23"/>
          <w:szCs w:val="23"/>
          <w:lang w:eastAsia="fr-BE"/>
          <w14:ligatures w14:val="none"/>
        </w:rPr>
        <w:t> à 2.218 $/t, -0,2% pour le </w:t>
      </w:r>
      <w:r w:rsidRPr="00D85195">
        <w:rPr>
          <w:rFonts w:ascii="Lato" w:eastAsia="Times New Roman" w:hAnsi="Lato" w:cs="Times New Roman"/>
          <w:color w:val="000000"/>
          <w:kern w:val="0"/>
          <w:sz w:val="23"/>
          <w:szCs w:val="23"/>
          <w:u w:val="single"/>
          <w:lang w:eastAsia="fr-BE"/>
          <w14:ligatures w14:val="none"/>
        </w:rPr>
        <w:t>zinc</w:t>
      </w:r>
      <w:r w:rsidRPr="00D85195">
        <w:rPr>
          <w:rFonts w:ascii="Lato" w:eastAsia="Times New Roman" w:hAnsi="Lato" w:cs="Times New Roman"/>
          <w:color w:val="000000"/>
          <w:kern w:val="0"/>
          <w:sz w:val="23"/>
          <w:szCs w:val="23"/>
          <w:lang w:eastAsia="fr-BE"/>
          <w14:ligatures w14:val="none"/>
        </w:rPr>
        <w:t> à 2.498 $/t, -0,1% pour le </w:t>
      </w:r>
      <w:r w:rsidRPr="00D85195">
        <w:rPr>
          <w:rFonts w:ascii="Lato" w:eastAsia="Times New Roman" w:hAnsi="Lato" w:cs="Times New Roman"/>
          <w:color w:val="000000"/>
          <w:kern w:val="0"/>
          <w:sz w:val="23"/>
          <w:szCs w:val="23"/>
          <w:u w:val="single"/>
          <w:lang w:eastAsia="fr-BE"/>
          <w14:ligatures w14:val="none"/>
        </w:rPr>
        <w:t>plomb</w:t>
      </w:r>
      <w:r w:rsidRPr="00D85195">
        <w:rPr>
          <w:rFonts w:ascii="Lato" w:eastAsia="Times New Roman" w:hAnsi="Lato" w:cs="Times New Roman"/>
          <w:color w:val="000000"/>
          <w:kern w:val="0"/>
          <w:sz w:val="23"/>
          <w:szCs w:val="23"/>
          <w:lang w:eastAsia="fr-BE"/>
          <w14:ligatures w14:val="none"/>
        </w:rPr>
        <w:t> à 2.094 $/t et –0,6% pour le nickel à 16.315 $/t.</w:t>
      </w:r>
    </w:p>
    <w:p w14:paraId="7B92850A"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95"/>
    <w:rsid w:val="00287462"/>
    <w:rsid w:val="00D8519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E19E0"/>
  <w15:chartTrackingRefBased/>
  <w15:docId w15:val="{B6C18441-A653-4D08-A26C-4262B660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99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1304</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2024-01-15T06:46:00Z</dcterms:created>
  <dcterms:modified xsi:type="dcterms:W3CDTF">2024-01-15T06:47:00Z</dcterms:modified>
</cp:coreProperties>
</file>